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2F" w:rsidRDefault="000E512F" w14:paraId="4E40994B" w14:textId="77777777">
      <w:pPr>
        <w:jc w:val="center"/>
        <w:outlineLvl w:val="0"/>
        <w:rPr>
          <w:b/>
          <w:sz w:val="28"/>
          <w:szCs w:val="28"/>
        </w:rPr>
      </w:pPr>
    </w:p>
    <w:p w:rsidR="000E512F" w:rsidRDefault="00A71851" w14:paraId="1F45A68B" w14:textId="777777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PROGRAMMAZIONE CONSUNTIVA</w:t>
      </w:r>
    </w:p>
    <w:p w:rsidR="000E512F" w:rsidRDefault="000E512F" w14:paraId="4E12E33C" w14:textId="77777777">
      <w:pPr>
        <w:jc w:val="center"/>
        <w:outlineLvl w:val="0"/>
        <w:rPr>
          <w:b/>
        </w:rPr>
      </w:pPr>
    </w:p>
    <w:p w:rsidR="000E512F" w:rsidRDefault="000E512F" w14:paraId="45A44C3D" w14:textId="77777777">
      <w:pPr>
        <w:jc w:val="center"/>
      </w:pPr>
    </w:p>
    <w:p w:rsidR="000E512F" w:rsidRDefault="00A71851" w14:paraId="4B0D9906" w14:textId="77777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Percorso di istruzione: II LIVELLO </w:t>
      </w:r>
    </w:p>
    <w:p w:rsidR="000E512F" w:rsidRDefault="003F7D78" w14:paraId="63B4655A" w14:textId="0A9B3F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 e</w:t>
      </w:r>
      <w:r w:rsidR="00A71851">
        <w:rPr>
          <w:sz w:val="28"/>
          <w:szCs w:val="28"/>
        </w:rPr>
        <w:t xml:space="preserve"> 2° PER</w:t>
      </w:r>
      <w:r w:rsidR="00680B55">
        <w:rPr>
          <w:sz w:val="28"/>
          <w:szCs w:val="28"/>
        </w:rPr>
        <w:t>IODO   Indirizzo: Classe 2 M</w:t>
      </w:r>
      <w:bookmarkStart w:name="_GoBack" w:id="0"/>
      <w:bookmarkEnd w:id="0"/>
    </w:p>
    <w:p w:rsidR="000E512F" w:rsidRDefault="000E512F" w14:paraId="1AA1164C" w14:textId="77777777">
      <w:pPr>
        <w:jc w:val="center"/>
        <w:rPr>
          <w:sz w:val="28"/>
          <w:szCs w:val="28"/>
        </w:rPr>
      </w:pPr>
    </w:p>
    <w:p w:rsidR="000E512F" w:rsidRDefault="00A71851" w14:paraId="30E12AF7" w14:textId="77777777">
      <w:pPr>
        <w:rPr>
          <w:sz w:val="28"/>
          <w:szCs w:val="28"/>
        </w:rPr>
      </w:pPr>
      <w:r>
        <w:rPr>
          <w:sz w:val="28"/>
          <w:szCs w:val="28"/>
        </w:rPr>
        <w:t>Disciplina: TECNICHE PROFESSIONALI DEI SERVIZI COMMERCIALI</w:t>
      </w:r>
    </w:p>
    <w:p w:rsidR="000E512F" w:rsidRDefault="000E512F" w14:paraId="493A18E7" w14:textId="77777777">
      <w:pPr>
        <w:rPr>
          <w:sz w:val="28"/>
          <w:szCs w:val="28"/>
        </w:rPr>
      </w:pPr>
    </w:p>
    <w:p w:rsidR="000E512F" w:rsidRDefault="00A71851" w14:paraId="54DA2138" w14:textId="0CA73AB9">
      <w:pPr>
        <w:rPr>
          <w:sz w:val="28"/>
          <w:szCs w:val="28"/>
        </w:rPr>
      </w:pPr>
      <w:r>
        <w:rPr>
          <w:sz w:val="28"/>
          <w:szCs w:val="28"/>
        </w:rPr>
        <w:t xml:space="preserve">Testi adottati: PROGETTO AZIENDA PASSO PASSO Volume 1 e 2– Autrice (Lidia Sorrentino) </w:t>
      </w:r>
    </w:p>
    <w:p w:rsidR="000E512F" w:rsidRDefault="000E512F" w14:paraId="4F39503D" w14:textId="77777777">
      <w:pPr>
        <w:rPr>
          <w:sz w:val="28"/>
          <w:szCs w:val="28"/>
        </w:rPr>
      </w:pPr>
    </w:p>
    <w:p w:rsidR="000E512F" w:rsidRDefault="00A71851" w14:paraId="64C80767" w14:textId="77777777">
      <w:pPr>
        <w:rPr>
          <w:sz w:val="28"/>
          <w:szCs w:val="28"/>
        </w:rPr>
      </w:pPr>
      <w:r>
        <w:rPr>
          <w:sz w:val="28"/>
          <w:szCs w:val="28"/>
        </w:rPr>
        <w:t>Curricolo composto da N. Moduli: 5</w:t>
      </w:r>
    </w:p>
    <w:p w:rsidR="000E512F" w:rsidRDefault="000E512F" w14:paraId="68D0F30D" w14:textId="77777777">
      <w:pPr>
        <w:rPr>
          <w:sz w:val="28"/>
          <w:szCs w:val="28"/>
        </w:rPr>
      </w:pPr>
    </w:p>
    <w:p w:rsidR="000E512F" w:rsidRDefault="000E512F" w14:paraId="3309247F" w14:textId="77777777"/>
    <w:tbl>
      <w:tblPr>
        <w:tblStyle w:val="Grigliatabella"/>
        <w:tblW w:w="9550" w:type="dxa"/>
        <w:tblLayout w:type="fixed"/>
        <w:tblLook w:val="04A0" w:firstRow="1" w:lastRow="0" w:firstColumn="1" w:lastColumn="0" w:noHBand="0" w:noVBand="1"/>
      </w:tblPr>
      <w:tblGrid>
        <w:gridCol w:w="9550"/>
      </w:tblGrid>
      <w:tr w:rsidR="000E512F" w:rsidTr="3A2B2D5D" w14:paraId="5DFFB43A" w14:textId="77777777">
        <w:trPr>
          <w:trHeight w:val="238"/>
        </w:trPr>
        <w:tc>
          <w:tcPr>
            <w:tcW w:w="9550" w:type="dxa"/>
            <w:tcMar/>
          </w:tcPr>
          <w:p w:rsidR="000E512F" w:rsidRDefault="00A71851" w14:paraId="00C9EFC3" w14:textId="77777777">
            <w:pPr>
              <w:jc w:val="center"/>
            </w:pPr>
            <w:r>
              <w:t>COMPETENZE   traversali e disciplinari</w:t>
            </w:r>
          </w:p>
        </w:tc>
      </w:tr>
      <w:tr w:rsidR="000E512F" w:rsidTr="3A2B2D5D" w14:paraId="0E56B659" w14:textId="77777777">
        <w:trPr>
          <w:trHeight w:val="1937"/>
        </w:trPr>
        <w:tc>
          <w:tcPr>
            <w:tcW w:w="9550" w:type="dxa"/>
            <w:tcMar/>
          </w:tcPr>
          <w:p w:rsidR="00A71851" w:rsidP="3A2B2D5D" w:rsidRDefault="00A71851" w14:paraId="0275361E" w14:textId="3F3DBE5A">
            <w:pPr>
              <w:pStyle w:val="paragraph"/>
              <w:numPr>
                <w:ilvl w:val="0"/>
                <w:numId w:val="1"/>
              </w:numPr>
              <w:spacing w:beforeAutospacing="off" w:afterAutospacing="off"/>
              <w:jc w:val="both"/>
              <w:rPr>
                <w:rStyle w:val="eop"/>
                <w:sz w:val="26"/>
                <w:szCs w:val="26"/>
              </w:rPr>
            </w:pPr>
            <w:r w:rsidRPr="3A2B2D5D" w:rsidR="00A71851">
              <w:rPr>
                <w:rStyle w:val="normaltextrun"/>
                <w:sz w:val="26"/>
                <w:szCs w:val="26"/>
              </w:rPr>
              <w:t xml:space="preserve">Riconoscere le caratteristiche essenziali del sistema </w:t>
            </w:r>
            <w:r w:rsidRPr="3A2B2D5D" w:rsidR="00A71851">
              <w:rPr>
                <w:rStyle w:val="normaltextrun"/>
                <w:sz w:val="26"/>
                <w:szCs w:val="26"/>
              </w:rPr>
              <w:t>socio-economico</w:t>
            </w:r>
            <w:r w:rsidRPr="3A2B2D5D" w:rsidR="00A71851">
              <w:rPr>
                <w:rStyle w:val="normaltextrun"/>
                <w:sz w:val="26"/>
                <w:szCs w:val="26"/>
              </w:rPr>
              <w:t xml:space="preserve"> per orientarsi nel tessuto produttivo del proprio territorio;</w:t>
            </w:r>
            <w:r w:rsidRPr="3A2B2D5D" w:rsidR="00A71851">
              <w:rPr>
                <w:rStyle w:val="eop"/>
                <w:sz w:val="26"/>
                <w:szCs w:val="26"/>
              </w:rPr>
              <w:t> </w:t>
            </w:r>
          </w:p>
          <w:p w:rsidR="000E512F" w:rsidP="3A2B2D5D" w:rsidRDefault="000E512F" w14:paraId="059A641F" w14:textId="77777777">
            <w:pPr>
              <w:pStyle w:val="paragraph"/>
              <w:spacing w:beforeAutospacing="off" w:afterAutospacing="off"/>
              <w:ind w:left="708"/>
              <w:jc w:val="both"/>
              <w:textAlignment w:val="baseline"/>
              <w:rPr>
                <w:sz w:val="26"/>
                <w:szCs w:val="26"/>
              </w:rPr>
            </w:pPr>
          </w:p>
          <w:p w:rsidR="000E512F" w:rsidP="008A6E7B" w:rsidRDefault="00A71851" w14:paraId="0EFFAE64" w14:textId="77777777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normaltextrun"/>
                <w:sz w:val="26"/>
                <w:szCs w:val="26"/>
              </w:rPr>
              <w:t>Individuare le strategie appropriate per la soluzione di problemi;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:rsidR="008A6E7B" w:rsidP="008A6E7B" w:rsidRDefault="008A6E7B" w14:paraId="1BCCD153" w14:textId="77777777">
            <w:pPr>
              <w:pStyle w:val="Paragrafoelenco"/>
              <w:rPr>
                <w:rStyle w:val="eop"/>
                <w:sz w:val="26"/>
                <w:szCs w:val="26"/>
              </w:rPr>
            </w:pPr>
          </w:p>
          <w:p w:rsidRPr="00442102" w:rsidR="008A6E7B" w:rsidP="008A6E7B" w:rsidRDefault="008A6E7B" w14:paraId="1B87186C" w14:textId="77777777">
            <w:pPr>
              <w:numPr>
                <w:ilvl w:val="0"/>
                <w:numId w:val="1"/>
              </w:numPr>
              <w:suppressAutoHyphens w:val="0"/>
              <w:textAlignment w:val="baseline"/>
              <w:rPr>
                <w:rStyle w:val="normaltextrun"/>
                <w:sz w:val="26"/>
                <w:szCs w:val="26"/>
              </w:rPr>
            </w:pPr>
            <w:r w:rsidRPr="00442102">
              <w:rPr>
                <w:rStyle w:val="normaltextrun"/>
                <w:sz w:val="26"/>
                <w:szCs w:val="26"/>
              </w:rPr>
              <w:t>Analizzare aspetti e comportamenti delle realtà personali e sociali e confrontarli con il dettato della norma giuridica</w:t>
            </w:r>
          </w:p>
          <w:p w:rsidR="000E512F" w:rsidP="008A6E7B" w:rsidRDefault="000E512F" w14:paraId="6B2ACFDC" w14:textId="77777777">
            <w:pPr>
              <w:pStyle w:val="paragraph"/>
              <w:spacing w:beforeAutospacing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0E512F" w:rsidP="008A6E7B" w:rsidRDefault="00A71851" w14:paraId="647527C1" w14:textId="77777777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normaltextrun"/>
                <w:sz w:val="26"/>
                <w:szCs w:val="26"/>
              </w:rPr>
              <w:t>Conoscere gli aspetti prevalenti della gestione aziendale;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:rsidR="000E512F" w:rsidRDefault="000E512F" w14:paraId="7D82F931" w14:textId="77777777">
            <w:pPr>
              <w:pStyle w:val="paragraph"/>
              <w:spacing w:beforeAutospacing="0" w:afterAutospacing="0"/>
              <w:ind w:left="720"/>
              <w:jc w:val="both"/>
              <w:textAlignment w:val="baseline"/>
              <w:rPr>
                <w:rStyle w:val="eop"/>
                <w:sz w:val="26"/>
                <w:szCs w:val="26"/>
              </w:rPr>
            </w:pPr>
          </w:p>
          <w:p w:rsidR="000E512F" w:rsidP="008A6E7B" w:rsidRDefault="00A71851" w14:paraId="249EC417" w14:textId="77777777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Individuare varietà, specificità e dinamiche dei sistemi economici;</w:t>
            </w:r>
          </w:p>
          <w:p w:rsidR="000E512F" w:rsidRDefault="000E512F" w14:paraId="79D5606C" w14:textId="77777777">
            <w:pPr>
              <w:pStyle w:val="paragraph"/>
              <w:spacing w:beforeAutospacing="0" w:afterAutospacing="0"/>
              <w:ind w:left="720"/>
              <w:jc w:val="both"/>
              <w:textAlignment w:val="baseline"/>
              <w:rPr>
                <w:rStyle w:val="eop"/>
                <w:sz w:val="26"/>
                <w:szCs w:val="26"/>
              </w:rPr>
            </w:pPr>
          </w:p>
          <w:p w:rsidR="000E512F" w:rsidP="3A2B2D5D" w:rsidRDefault="000E512F" w14:paraId="18C9BCA5" w14:textId="7924E1F8">
            <w:pPr>
              <w:pStyle w:val="paragraph"/>
              <w:numPr>
                <w:ilvl w:val="0"/>
                <w:numId w:val="1"/>
              </w:numPr>
              <w:spacing w:beforeAutospacing="off" w:afterAutospacing="off"/>
              <w:jc w:val="both"/>
              <w:rPr>
                <w:sz w:val="26"/>
                <w:szCs w:val="26"/>
              </w:rPr>
            </w:pPr>
            <w:r w:rsidRPr="3A2B2D5D" w:rsidR="00A71851">
              <w:rPr>
                <w:rStyle w:val="eop"/>
                <w:sz w:val="26"/>
                <w:szCs w:val="26"/>
              </w:rPr>
              <w:t>Orientarsi sulle diverse forme giuridiche che l’impresa può assumere in relazione al contesto, ai limiti e alle opportunità</w:t>
            </w:r>
          </w:p>
        </w:tc>
      </w:tr>
    </w:tbl>
    <w:p w:rsidR="000E512F" w:rsidRDefault="00A71851" w14:paraId="2F9E34D9" w14:textId="77777777">
      <w:pPr>
        <w:spacing w:after="160" w:line="259" w:lineRule="auto"/>
      </w:pPr>
      <w:r>
        <w:br w:type="page"/>
      </w:r>
    </w:p>
    <w:p w:rsidR="000E512F" w:rsidRDefault="00A71851" w14:paraId="635E2B5E" w14:textId="3779B9A6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 1°   </w:t>
      </w:r>
    </w:p>
    <w:p w:rsidR="003154A4" w:rsidRDefault="003154A4" w14:paraId="6B923AE2" w14:textId="6710A642">
      <w:pPr>
        <w:spacing w:after="160" w:line="259" w:lineRule="auto"/>
        <w:rPr>
          <w:b/>
          <w:sz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4867"/>
        <w:gridCol w:w="3138"/>
        <w:gridCol w:w="2133"/>
      </w:tblGrid>
      <w:tr w:rsidR="000E512F" w:rsidTr="3A2B2D5D" w14:paraId="6D2979E6" w14:textId="77777777">
        <w:trPr>
          <w:trHeight w:val="528"/>
        </w:trPr>
        <w:tc>
          <w:tcPr>
            <w:tcW w:w="101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2EB29A61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14D93DED" w14:textId="777777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N. S (UdA) N. S: Titolo GLI STRUMENTI OPERATIVI– Annualità prima</w:t>
            </w:r>
          </w:p>
        </w:tc>
      </w:tr>
      <w:tr w:rsidR="000E512F" w:rsidTr="3A2B2D5D" w14:paraId="4936864D" w14:textId="77777777">
        <w:trPr>
          <w:trHeight w:val="783"/>
        </w:trPr>
        <w:tc>
          <w:tcPr>
            <w:tcW w:w="4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B364D5C" w14:textId="7FD1B01D">
            <w:pPr>
              <w:widowControl w:val="0"/>
              <w:jc w:val="both"/>
            </w:pPr>
            <w:r w:rsidR="65ABBEBE">
              <w:rPr/>
              <w:t>ORE IN PRESENZA:</w:t>
            </w:r>
          </w:p>
        </w:tc>
        <w:tc>
          <w:tcPr>
            <w:tcW w:w="3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1D42B657" w14:textId="442E3612">
            <w:pPr>
              <w:widowControl w:val="0"/>
              <w:jc w:val="both"/>
            </w:pPr>
            <w:r w:rsidR="65ABBEBE">
              <w:rPr/>
              <w:t>ORE A DISTANZA:</w:t>
            </w:r>
          </w:p>
        </w:tc>
        <w:tc>
          <w:tcPr>
            <w:tcW w:w="21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2359DB15" w14:textId="77777777">
            <w:pPr>
              <w:widowControl w:val="0"/>
            </w:pPr>
            <w:r>
              <w:t xml:space="preserve">TOTALE ORE: … di cui valide ai fini PCTO: </w:t>
            </w:r>
          </w:p>
        </w:tc>
      </w:tr>
      <w:tr w:rsidR="000E512F" w:rsidTr="3A2B2D5D" w14:paraId="51B53372" w14:textId="77777777">
        <w:trPr>
          <w:trHeight w:val="511"/>
        </w:trPr>
        <w:tc>
          <w:tcPr>
            <w:tcW w:w="4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4BCB115D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0E512F" w14:paraId="4865EB03" w14:textId="77777777">
            <w:pPr>
              <w:widowControl w:val="0"/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08F59DD9" w14:textId="77777777">
            <w:pPr>
              <w:widowControl w:val="0"/>
              <w:ind w:left="720"/>
              <w:jc w:val="both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0E512F" w:rsidTr="3A2B2D5D" w14:paraId="35412D13" w14:textId="77777777">
        <w:trPr>
          <w:trHeight w:val="73"/>
        </w:trPr>
        <w:tc>
          <w:tcPr>
            <w:tcW w:w="4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2F837D4C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Eseguire equivalenze</w:t>
            </w:r>
          </w:p>
          <w:p w:rsidR="000E512F" w:rsidRDefault="00A71851" w14:paraId="626AA120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Impostare e risolvere proporzioni (dirette e inverse)</w:t>
            </w:r>
          </w:p>
          <w:p w:rsidR="000E512F" w:rsidRDefault="00A71851" w14:paraId="2FB444A2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Risolvere problemi economico-aziendali con gli strumenti del calcolo percentuale</w:t>
            </w:r>
          </w:p>
          <w:p w:rsidR="000E512F" w:rsidRDefault="00A71851" w14:paraId="31B9C5EE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Comprendere la differenza nei termini del calcolo percentuale (sopra cento- sotto cento)</w:t>
            </w:r>
          </w:p>
          <w:p w:rsidR="000E512F" w:rsidRDefault="00A71851" w14:paraId="3EEB1573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strumenti e tecniche di calcolo a operazioni commerciali</w:t>
            </w:r>
          </w:p>
          <w:p w:rsidR="000E512F" w:rsidRDefault="00A71851" w14:paraId="5BA2BC62" w14:textId="7777777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Eseguire riparti diretti semplici e composti</w:t>
            </w:r>
          </w:p>
        </w:tc>
        <w:tc>
          <w:tcPr>
            <w:tcW w:w="52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0D21F31E" w14:textId="777777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 metrico e relazioni tra grandezze</w:t>
            </w:r>
          </w:p>
          <w:p w:rsidR="000E512F" w:rsidRDefault="00A71851" w14:paraId="6A786E82" w14:textId="777777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Arrotondamenti</w:t>
            </w:r>
          </w:p>
          <w:p w:rsidR="000E512F" w:rsidRDefault="00A71851" w14:paraId="29345C4D" w14:textId="777777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proporzioni e le loro proprietà</w:t>
            </w:r>
          </w:p>
          <w:p w:rsidR="000E512F" w:rsidRDefault="00A71851" w14:paraId="58C5BF1A" w14:textId="777777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percentuali e i riparti.</w:t>
            </w:r>
          </w:p>
        </w:tc>
      </w:tr>
    </w:tbl>
    <w:p w:rsidR="000E512F" w:rsidRDefault="000E512F" w14:paraId="206B0992" w14:textId="77777777">
      <w:pPr>
        <w:spacing w:after="160" w:line="259" w:lineRule="auto"/>
        <w:rPr>
          <w:sz w:val="28"/>
          <w:szCs w:val="28"/>
        </w:rPr>
      </w:pPr>
    </w:p>
    <w:p w:rsidR="000E512F" w:rsidRDefault="000E512F" w14:paraId="455AED72" w14:textId="7CAC0372">
      <w:pPr>
        <w:spacing w:after="160" w:line="259" w:lineRule="auto"/>
      </w:pPr>
    </w:p>
    <w:p w:rsidR="003154A4" w:rsidRDefault="003154A4" w14:paraId="6E0D2100" w14:textId="5CEA369C">
      <w:pPr>
        <w:spacing w:after="160" w:line="259" w:lineRule="auto"/>
      </w:pPr>
    </w:p>
    <w:p w:rsidR="003154A4" w:rsidRDefault="003154A4" w14:paraId="203DE3D4" w14:textId="1906273E">
      <w:pPr>
        <w:spacing w:after="160" w:line="259" w:lineRule="auto"/>
      </w:pPr>
    </w:p>
    <w:p w:rsidR="003154A4" w:rsidRDefault="003154A4" w14:paraId="1C1C2B1A" w14:textId="57C11859">
      <w:pPr>
        <w:spacing w:after="160" w:line="259" w:lineRule="auto"/>
      </w:pPr>
    </w:p>
    <w:p w:rsidR="003154A4" w:rsidRDefault="003154A4" w14:paraId="25D0029F" w14:textId="32173628">
      <w:pPr>
        <w:spacing w:after="160" w:line="259" w:lineRule="auto"/>
      </w:pPr>
    </w:p>
    <w:p w:rsidR="3A2B2D5D" w:rsidP="3A2B2D5D" w:rsidRDefault="3A2B2D5D" w14:paraId="4A489C56" w14:textId="7C2B14EA">
      <w:pPr>
        <w:pStyle w:val="Normale"/>
        <w:spacing w:after="160" w:line="259" w:lineRule="auto"/>
      </w:pPr>
    </w:p>
    <w:p w:rsidR="003154A4" w:rsidRDefault="003154A4" w14:paraId="6AAE7967" w14:textId="77777777">
      <w:pPr>
        <w:spacing w:after="160" w:line="259" w:lineRule="auto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3A2B2D5D" w14:paraId="0FF9F11E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4C540C39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4F65D06E" w14:textId="777777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N. 1  (UdA) N. 1-2-3: Titolo LE AZIENDE– Annualità prima</w:t>
            </w:r>
          </w:p>
        </w:tc>
      </w:tr>
      <w:tr w:rsidR="000E512F" w:rsidTr="3A2B2D5D" w14:paraId="77CD85C8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2A3C79F" w14:textId="7D1D2C76">
            <w:pPr>
              <w:widowControl w:val="0"/>
              <w:jc w:val="both"/>
            </w:pPr>
            <w:r w:rsidR="078DA4DA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02DC952" w14:textId="70F92022">
            <w:pPr>
              <w:widowControl w:val="0"/>
              <w:jc w:val="both"/>
            </w:pPr>
            <w:r w:rsidR="078DA4DA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57912F39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3A2B2D5D" w14:paraId="54F72ED3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22922EF6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0E512F" w14:paraId="5D205D05" w14:textId="77777777">
            <w:pPr>
              <w:widowControl w:val="0"/>
              <w:jc w:val="center"/>
              <w:rPr>
                <w:b/>
              </w:rPr>
            </w:pPr>
          </w:p>
          <w:p w:rsidR="000E512F" w:rsidP="00421F53" w:rsidRDefault="00A71851" w14:paraId="3D9D77DC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Riconoscere gli elementi costitutivi del sistema azienda</w:t>
            </w:r>
          </w:p>
          <w:p w:rsidR="000E512F" w:rsidP="00421F53" w:rsidRDefault="00A71851" w14:paraId="5D0C141A" w14:textId="4A58BFE9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Distinguere le varie categorie di aziende (aziende di consumo e aziende di produzione</w:t>
            </w:r>
            <w:r w:rsidR="4D894AC9">
              <w:rPr>
                <w:rFonts w:eastAsia="SimSun"/>
                <w:kern w:val="2"/>
                <w:sz w:val="28"/>
                <w:szCs w:val="28"/>
                <w:lang w:eastAsia="en-US"/>
              </w:rPr>
              <w:t>,</w:t>
            </w: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 aziende individuali e collettive)</w:t>
            </w:r>
          </w:p>
          <w:p w:rsidR="00421F53" w:rsidP="00421F53" w:rsidRDefault="00421F53" w14:paraId="5144223D" w14:textId="38A2C3B2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Distinguere le varie categorie di imprese (pubbliche e private)</w:t>
            </w:r>
          </w:p>
          <w:p w:rsidR="000E512F" w:rsidP="00421F53" w:rsidRDefault="00A71851" w14:paraId="336C19D7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Individuare il soggetto giuridico e il soggetto economico dell’impresa</w:t>
            </w:r>
          </w:p>
          <w:p w:rsidR="000E512F" w:rsidP="00421F53" w:rsidRDefault="00A71851" w14:paraId="55281243" w14:textId="49FF630E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Classificare l’impresa secondo il settore economico in cui opera</w:t>
            </w:r>
          </w:p>
          <w:p w:rsidRPr="00421F53" w:rsidR="00421F53" w:rsidP="00421F53" w:rsidRDefault="00421F53" w14:paraId="66BE9CF2" w14:textId="27BA4694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Saper riconoscere i fattori produttivi delle imprese</w:t>
            </w:r>
          </w:p>
          <w:p w:rsidR="000E512F" w:rsidP="00421F53" w:rsidRDefault="00A71851" w14:paraId="7D518747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Calcolare il risultato economico di un’impresa</w:t>
            </w:r>
          </w:p>
          <w:p w:rsidR="000E512F" w:rsidP="00421F53" w:rsidRDefault="00A71851" w14:paraId="3BBFA10F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Calcolare il rendimento dei fattori produttivi</w:t>
            </w:r>
          </w:p>
          <w:p w:rsidR="000E512F" w:rsidP="00421F53" w:rsidRDefault="00A71851" w14:paraId="41929670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Relazioni tra l’azienda e l’ambiente esterno</w:t>
            </w:r>
          </w:p>
          <w:p w:rsidR="000E512F" w:rsidP="00421F53" w:rsidRDefault="00A71851" w14:paraId="2FA2264C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Classificare l’azienda secondo la forma giuridica e le dimensioni</w:t>
            </w:r>
          </w:p>
          <w:p w:rsidR="000E512F" w:rsidP="00421F53" w:rsidRDefault="00A71851" w14:paraId="7AA402C1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Saper distinguere i principali modelli organizzativi aziendali</w:t>
            </w:r>
          </w:p>
          <w:p w:rsidR="000E512F" w:rsidRDefault="000E512F" w14:paraId="010A9B75" w14:textId="77777777">
            <w:pPr>
              <w:pStyle w:val="Paragrafoelenco"/>
              <w:widowControl w:val="0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  <w:p w:rsidR="000E512F" w:rsidRDefault="000E512F" w14:paraId="0EFA7601" w14:textId="77777777">
            <w:pPr>
              <w:widowControl w:val="0"/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398DB512" w14:textId="77777777">
            <w:pPr>
              <w:widowControl w:val="0"/>
              <w:ind w:left="72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CONOSCENZE</w:t>
            </w:r>
          </w:p>
          <w:p w:rsidR="000E512F" w:rsidRDefault="000E512F" w14:paraId="0C683511" w14:textId="77777777">
            <w:pPr>
              <w:widowControl w:val="0"/>
              <w:ind w:left="72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  <w:p w:rsidR="000E512F" w:rsidRDefault="00A71851" w14:paraId="14C88DEB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Gli elementi costitutivi dell’azienda: le persone – i beni- le funzioni- le operazioni aziendali – il fine aziendale</w:t>
            </w:r>
          </w:p>
          <w:p w:rsidR="3A2B2D5D" w:rsidP="3A2B2D5D" w:rsidRDefault="3A2B2D5D" w14:paraId="2E6D1C7A" w14:textId="1ECDBDB7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Pr="00421F53" w:rsidR="000E512F" w:rsidP="00421F53" w:rsidRDefault="00A71851" w14:paraId="2C8511A5" w14:textId="62E1474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Concetti di bisogni e attività economica</w:t>
            </w:r>
          </w:p>
          <w:p w:rsidR="3A2B2D5D" w:rsidP="3A2B2D5D" w:rsidRDefault="3A2B2D5D" w14:paraId="0F1163DA" w14:textId="2D30B1A1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0802AAE8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Il sistema azienda: sistema aperto, dinamico e cibernetico</w:t>
            </w:r>
          </w:p>
          <w:p w:rsidR="3A2B2D5D" w:rsidP="3A2B2D5D" w:rsidRDefault="3A2B2D5D" w14:paraId="2ECA6E63" w14:textId="3C87C000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69633017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La classificazione delle aziende: secondo il fine, secondo la natura del soggetto giuridico, secondo la forma giuridica</w:t>
            </w:r>
          </w:p>
          <w:p w:rsidR="3A2B2D5D" w:rsidP="3A2B2D5D" w:rsidRDefault="3A2B2D5D" w14:paraId="3E9B62F1" w14:textId="3426F8AB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1D38C9D5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La combinazione dei fattori produttivi</w:t>
            </w:r>
          </w:p>
          <w:p w:rsidR="3A2B2D5D" w:rsidP="3A2B2D5D" w:rsidRDefault="3A2B2D5D" w14:paraId="02754E09" w14:textId="487890F2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26A3C44D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Forme giuridiche e dimensioni aziendali</w:t>
            </w:r>
          </w:p>
          <w:p w:rsidR="000E512F" w:rsidRDefault="00A71851" w14:paraId="73AE823B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Fattori che influiscono sulla localizzazione e delocalizzazione dell’azienda</w:t>
            </w:r>
          </w:p>
          <w:p w:rsidR="3A2B2D5D" w:rsidP="3A2B2D5D" w:rsidRDefault="3A2B2D5D" w14:paraId="0F885995" w14:textId="1D1C86BE">
            <w:pPr>
              <w:pStyle w:val="Paragrafoelenco"/>
              <w:widowControl w:val="0"/>
              <w:ind w:left="7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:rsidR="000E512F" w:rsidRDefault="00A71851" w14:paraId="08C6FD7C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Organigramma e modelli organizzativi di base</w:t>
            </w:r>
          </w:p>
        </w:tc>
      </w:tr>
      <w:tr w:rsidR="000E512F" w:rsidTr="3A2B2D5D" w14:paraId="40689BEB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29CC3802" w14:textId="7777777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1A8D7906" w14:textId="77777777">
            <w:pPr>
              <w:widowControl w:val="0"/>
              <w:jc w:val="both"/>
            </w:pPr>
          </w:p>
        </w:tc>
      </w:tr>
    </w:tbl>
    <w:p w:rsidR="000E512F" w:rsidRDefault="000E512F" w14:paraId="08325DD1" w14:textId="77777777">
      <w:pPr>
        <w:spacing w:after="160" w:line="259" w:lineRule="auto"/>
      </w:pPr>
    </w:p>
    <w:p w:rsidR="000E512F" w:rsidRDefault="00A71851" w14:paraId="0F45CD6E" w14:textId="77777777">
      <w:pPr>
        <w:spacing w:line="480" w:lineRule="auto"/>
      </w:pPr>
      <w:r>
        <w:tab/>
      </w:r>
      <w:r>
        <w:tab/>
      </w:r>
    </w:p>
    <w:p w:rsidR="000E512F" w:rsidRDefault="000E512F" w14:paraId="03E6B8C6" w14:textId="4B62B386">
      <w:pPr>
        <w:spacing w:after="160" w:line="259" w:lineRule="auto"/>
      </w:pPr>
    </w:p>
    <w:p w:rsidR="002F439F" w:rsidRDefault="002F439F" w14:paraId="248E0927" w14:textId="77777777">
      <w:pPr>
        <w:spacing w:after="160" w:line="259" w:lineRule="auto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3A2B2D5D" w14:paraId="009251FF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454B462B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73CFA8F9" w14:textId="777777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N. 2  (UdA) N. 1-2-3: Titolo GLI SCAMBI ECONOMICI DELL’AZIENDA– Annualità prima</w:t>
            </w:r>
          </w:p>
        </w:tc>
      </w:tr>
      <w:tr w:rsidR="000E512F" w:rsidTr="3A2B2D5D" w14:paraId="7581AC7E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86048BB" w14:textId="52207038">
            <w:pPr>
              <w:widowControl w:val="0"/>
              <w:jc w:val="both"/>
            </w:pPr>
            <w:r w:rsidR="4F78F01D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70D2DE09" w14:textId="2E42FC5C">
            <w:pPr>
              <w:widowControl w:val="0"/>
              <w:jc w:val="both"/>
            </w:pPr>
            <w:r w:rsidR="4F78F01D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649CFC23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3A2B2D5D" w14:paraId="20EA3CD6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0AC35F8E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0E512F" w14:paraId="04356EC8" w14:textId="77777777">
            <w:pPr>
              <w:widowControl w:val="0"/>
              <w:jc w:val="center"/>
              <w:rPr>
                <w:b/>
              </w:rPr>
            </w:pPr>
          </w:p>
          <w:p w:rsidR="000E512F" w:rsidRDefault="00A71851" w14:paraId="10E797DF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Interpretare le clausole contrattuali del contratto di compravendita</w:t>
            </w:r>
          </w:p>
          <w:p w:rsidR="000E512F" w:rsidRDefault="00A71851" w14:paraId="1FB9F5BE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Determinare il prezzo di vendita in funzione delle clausole contrattuali</w:t>
            </w:r>
          </w:p>
          <w:p w:rsidR="000E512F" w:rsidRDefault="00A71851" w14:paraId="3C15488D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Compilare ordinativo e conferma d’ordine</w:t>
            </w:r>
          </w:p>
          <w:p w:rsidR="000E512F" w:rsidRDefault="00A71851" w14:paraId="178D0A7D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Compilare fatture immediate, DDT e fatture differite</w:t>
            </w:r>
          </w:p>
          <w:p w:rsidR="000E512F" w:rsidRDefault="00A71851" w14:paraId="18D818E8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Liquidazione e scorporo dell’Iva</w:t>
            </w:r>
          </w:p>
          <w:p w:rsidR="000E512F" w:rsidRDefault="00A71851" w14:paraId="3540384D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Classificare le operazioni a fini Iva</w:t>
            </w:r>
          </w:p>
          <w:p w:rsidR="000E512F" w:rsidRDefault="00A71851" w14:paraId="7BBCA867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Redigere fatture a 1 o più aliquote Iva</w:t>
            </w:r>
          </w:p>
          <w:p w:rsidR="000E512F" w:rsidRDefault="00A71851" w14:paraId="0F956DBC" w14:textId="77777777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Saper calcolare la base imponibile e il totale fattura</w:t>
            </w:r>
          </w:p>
          <w:p w:rsidR="000E512F" w:rsidRDefault="000E512F" w14:paraId="729F7194" w14:textId="77777777">
            <w:pPr>
              <w:pStyle w:val="Paragrafoelenco"/>
              <w:widowControl w:val="0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  <w:p w:rsidR="000E512F" w:rsidRDefault="000E512F" w14:paraId="69D52204" w14:textId="77777777">
            <w:pPr>
              <w:widowControl w:val="0"/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3086D8FB" w14:textId="77777777">
            <w:pPr>
              <w:widowControl w:val="0"/>
              <w:ind w:left="72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CONOSCENZE</w:t>
            </w:r>
          </w:p>
          <w:p w:rsidR="000E512F" w:rsidRDefault="000E512F" w14:paraId="403EF3BE" w14:textId="77777777">
            <w:pPr>
              <w:widowControl w:val="0"/>
              <w:ind w:left="72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  <w:p w:rsidR="000E512F" w:rsidRDefault="00A71851" w14:paraId="4A19A2B4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Le funzioni delle aziende commerciali</w:t>
            </w:r>
          </w:p>
          <w:p w:rsidR="000E512F" w:rsidRDefault="00A71851" w14:paraId="5483B5B2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Le fasi della compravendita e gli elementi del contratto di compravendita</w:t>
            </w:r>
          </w:p>
          <w:p w:rsidR="000E512F" w:rsidRDefault="00A71851" w14:paraId="5BDE537E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Clausole relative all’imballaggio, alla consegna e al pagamento</w:t>
            </w:r>
          </w:p>
          <w:p w:rsidR="000E512F" w:rsidRDefault="00A71851" w14:paraId="7B35DCD7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I documenti della compravendita</w:t>
            </w:r>
          </w:p>
          <w:p w:rsidR="000E512F" w:rsidRDefault="00A71851" w14:paraId="5C661CAA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Elementi che concorrono a formare la base imponibile Iva</w:t>
            </w:r>
          </w:p>
          <w:p w:rsidR="000E512F" w:rsidRDefault="00A71851" w14:paraId="546689A3" w14:textId="77777777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Elementi che rientrano nel totale fattura</w:t>
            </w:r>
          </w:p>
          <w:p w:rsidR="000E512F" w:rsidRDefault="000E512F" w14:paraId="7CBB10EC" w14:textId="77777777">
            <w:pPr>
              <w:widowControl w:val="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  <w:p w:rsidR="000E512F" w:rsidRDefault="000E512F" w14:paraId="2F851E5A" w14:textId="77777777">
            <w:pPr>
              <w:widowControl w:val="0"/>
              <w:ind w:left="360"/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</w:p>
        </w:tc>
      </w:tr>
      <w:tr w:rsidR="000E512F" w:rsidTr="3A2B2D5D" w14:paraId="5827B316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552CA4EC" w14:textId="7777777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2CBFE101" w14:textId="77777777">
            <w:pPr>
              <w:widowControl w:val="0"/>
              <w:jc w:val="both"/>
            </w:pPr>
          </w:p>
        </w:tc>
      </w:tr>
    </w:tbl>
    <w:p w:rsidR="000E512F" w:rsidRDefault="000E512F" w14:paraId="060E3706" w14:textId="77777777">
      <w:pPr>
        <w:spacing w:after="160" w:line="259" w:lineRule="auto"/>
      </w:pPr>
    </w:p>
    <w:p w:rsidR="000E512F" w:rsidP="7C28022B" w:rsidRDefault="00A71851" w14:paraId="69DD0048" w14:textId="764B03E1">
      <w:pPr>
        <w:pStyle w:val="Normale"/>
        <w:spacing w:after="160" w:line="259" w:lineRule="auto"/>
      </w:pPr>
    </w:p>
    <w:p w:rsidR="000E512F" w:rsidRDefault="00A71851" w14:paraId="5E60C244" w14:textId="77777777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 2°  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3A2B2D5D" w14:paraId="403C35EF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4109A210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299B2737" w14:textId="05FB173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MODULO N. 3 (UdA) N.1 – 2 : Titolo IL CREDITO E I CALCOLI FINANZIARI –  Annualità </w:t>
            </w:r>
            <w:r w:rsidR="006342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seconda</w:t>
            </w:r>
          </w:p>
        </w:tc>
      </w:tr>
      <w:tr w:rsidR="000E512F" w:rsidTr="3A2B2D5D" w14:paraId="4F98A6AD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0EDDA34" w14:textId="452A83FF">
            <w:pPr>
              <w:widowControl w:val="0"/>
              <w:jc w:val="both"/>
            </w:pPr>
            <w:r w:rsidR="3B600212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1FD8E891" w14:textId="26EAE9A9">
            <w:pPr>
              <w:widowControl w:val="0"/>
              <w:jc w:val="both"/>
            </w:pPr>
            <w:r w:rsidR="3B600212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5F5EB6D3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3A2B2D5D" w14:paraId="76E99544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2E3F1583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0E512F" w14:paraId="45291430" w14:textId="77777777">
            <w:pPr>
              <w:widowControl w:val="0"/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53F847DC" w14:textId="77777777">
            <w:pPr>
              <w:widowControl w:val="0"/>
              <w:ind w:left="720"/>
              <w:jc w:val="both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0E512F" w:rsidTr="3A2B2D5D" w14:paraId="06C463BA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7A104371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le formule dirette e inverse dell’interesse</w:t>
            </w:r>
          </w:p>
          <w:p w:rsidR="000E512F" w:rsidRDefault="00A71851" w14:paraId="5CF83C10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le formule dirette e inverse del montante</w:t>
            </w:r>
          </w:p>
          <w:p w:rsidR="000E512F" w:rsidRDefault="00A71851" w14:paraId="3A250EF3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Calcolare i giorni compresi tra 2 date</w:t>
            </w:r>
          </w:p>
          <w:p w:rsidR="000E512F" w:rsidRDefault="00A71851" w14:paraId="3ABB51A6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le formule dirette e inverse dello sconto commerciale</w:t>
            </w:r>
          </w:p>
          <w:p w:rsidR="000E512F" w:rsidRDefault="00A71851" w14:paraId="3F38312F" w14:textId="77777777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Applicare le formule dirette e inverse del valore attuale commerciale</w:t>
            </w: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69C3B6C8" w14:textId="77777777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Interesse</w:t>
            </w:r>
          </w:p>
          <w:p w:rsidR="000E512F" w:rsidRDefault="00A71851" w14:paraId="14480747" w14:textId="77777777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Montante</w:t>
            </w:r>
          </w:p>
          <w:p w:rsidR="000E512F" w:rsidRDefault="00A71851" w14:paraId="2A4BE27F" w14:textId="77777777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Il pagamento anticipato di un debito lo sconto</w:t>
            </w:r>
          </w:p>
          <w:p w:rsidR="000E512F" w:rsidRDefault="00A71851" w14:paraId="3C3CE25A" w14:textId="77777777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Valore attuale commerciale</w:t>
            </w:r>
          </w:p>
        </w:tc>
      </w:tr>
    </w:tbl>
    <w:p w:rsidR="000E512F" w:rsidP="3A2B2D5D" w:rsidRDefault="000E512F" w14:paraId="27545223" w14:textId="39CF1A91">
      <w:pPr>
        <w:pStyle w:val="Normale"/>
        <w:spacing w:after="160" w:line="259" w:lineRule="auto"/>
      </w:pPr>
    </w:p>
    <w:p w:rsidR="7C28022B" w:rsidP="7C28022B" w:rsidRDefault="7C28022B" w14:paraId="00416D06" w14:textId="2E803150">
      <w:pPr>
        <w:pStyle w:val="Normale"/>
        <w:spacing w:after="160" w:line="259" w:lineRule="auto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090D0C1F" w14:paraId="4DAC0ED6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8DFE39A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702B7172" w14:textId="77780B5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MODULO N. 4  (UdA) N.1-2: Titolo GLI STRUMENTI DI REGOLAMENTO  –  Annualità </w:t>
            </w:r>
            <w:r w:rsidR="006342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seconda</w:t>
            </w:r>
          </w:p>
        </w:tc>
      </w:tr>
      <w:tr w:rsidR="000E512F" w:rsidTr="090D0C1F" w14:paraId="6BF85A7A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5CC1FB49" w14:textId="51BCAB17">
            <w:pPr>
              <w:widowControl w:val="0"/>
              <w:jc w:val="both"/>
            </w:pPr>
            <w:r w:rsidR="0C846B45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18D20DAB" w14:textId="503E1FD0">
            <w:pPr>
              <w:widowControl w:val="0"/>
              <w:jc w:val="both"/>
            </w:pPr>
            <w:r w:rsidR="0C846B45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4D630D0C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090D0C1F" w14:paraId="59B4A0B3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31B3E159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A71851" w14:paraId="5CD8E3E1" w14:textId="6627B1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eastAsia="SimSun"/>
                <w:kern w:val="2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Saper distinguere e compilare assegni bancari e circolari</w:t>
            </w:r>
            <w:r w:rsidR="00421F53">
              <w:rPr>
                <w:rFonts w:eastAsia="SimSun"/>
                <w:kern w:val="2"/>
                <w:sz w:val="28"/>
                <w:szCs w:val="28"/>
                <w:lang w:eastAsia="en-US"/>
              </w:rPr>
              <w:t>, nonché conoscerne tutte le caratteristiche</w:t>
            </w:r>
          </w:p>
          <w:p w:rsidR="000E512F" w:rsidRDefault="00A71851" w14:paraId="07AB12B2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Trasferimento di denaro mediante bonifici</w:t>
            </w:r>
          </w:p>
          <w:p w:rsidR="000E512F" w:rsidRDefault="00A71851" w14:paraId="48F8F5FA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Servizi bancari di incasso elettronico</w:t>
            </w:r>
            <w:r>
              <w:rPr>
                <w:b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riba, rid e mav</w:t>
            </w:r>
          </w:p>
          <w:p w:rsidR="000E512F" w:rsidRDefault="00A71851" w14:paraId="12016452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Conoscere la differenza tra le </w:t>
            </w:r>
            <w:r>
              <w:rPr>
                <w:rFonts w:eastAsia="SimSun"/>
                <w:kern w:val="2"/>
                <w:sz w:val="28"/>
                <w:szCs w:val="28"/>
              </w:rPr>
              <w:lastRenderedPageBreak/>
              <w:t xml:space="preserve">principali carte di pagamento </w:t>
            </w:r>
          </w:p>
          <w:p w:rsidR="000E512F" w:rsidRDefault="00A71851" w14:paraId="5A7251DD" w14:textId="0944CA66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Saper riconoscere le principali caratteristiche dell</w:t>
            </w:r>
            <w:r w:rsidR="0027539C">
              <w:rPr>
                <w:rFonts w:eastAsia="SimSun"/>
                <w:kern w:val="2"/>
                <w:sz w:val="28"/>
                <w:szCs w:val="28"/>
              </w:rPr>
              <w:t>e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cambiali, pagherò e tratte, girate, avallo e scadenza.</w:t>
            </w: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6EBB6E56" w14:textId="77777777">
            <w:pPr>
              <w:widowControl w:val="0"/>
              <w:ind w:left="720"/>
              <w:jc w:val="both"/>
              <w:rPr>
                <w:b/>
              </w:rPr>
            </w:pPr>
            <w:r>
              <w:rPr>
                <w:b/>
              </w:rPr>
              <w:lastRenderedPageBreak/>
              <w:t>CONOSCENZE</w:t>
            </w:r>
          </w:p>
          <w:p w:rsidR="000E512F" w:rsidP="090D0C1F" w:rsidRDefault="00A71851" w14:paraId="2784DE64" w14:textId="3E444B10">
            <w:pPr>
              <w:pStyle w:val="Paragrafoelenco"/>
              <w:widowControl w:val="0"/>
              <w:numPr>
                <w:ilvl w:val="0"/>
                <w:numId w:val="4"/>
              </w:numPr>
              <w:rPr>
                <w:b w:val="1"/>
                <w:bCs w:val="1"/>
              </w:rPr>
            </w:pPr>
            <w:r w:rsidR="00A71851">
              <w:rPr>
                <w:rFonts w:eastAsia="SimSun"/>
                <w:kern w:val="2"/>
                <w:sz w:val="28"/>
                <w:szCs w:val="28"/>
                <w:lang w:eastAsia="en-US"/>
              </w:rPr>
              <w:t>Conoscenza dei principali strumenti di regolamento degli scambi</w:t>
            </w:r>
            <w:r w:rsidR="219AADEA"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 commerciali</w:t>
            </w:r>
          </w:p>
          <w:p w:rsidR="000E512F" w:rsidRDefault="00A71851" w14:paraId="2F5473A0" w14:textId="1EE88F9B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Elementi </w:t>
            </w:r>
            <w:r w:rsidR="000F256C">
              <w:rPr>
                <w:rFonts w:eastAsia="SimSun"/>
                <w:kern w:val="2"/>
                <w:sz w:val="28"/>
                <w:szCs w:val="28"/>
                <w:lang w:eastAsia="en-US"/>
              </w:rPr>
              <w:t xml:space="preserve">e caratteristiche </w:t>
            </w:r>
            <w:r>
              <w:rPr>
                <w:rFonts w:eastAsia="SimSun"/>
                <w:kern w:val="2"/>
                <w:sz w:val="28"/>
                <w:szCs w:val="28"/>
                <w:lang w:eastAsia="en-US"/>
              </w:rPr>
              <w:t>dell’assegno bancario e circolare</w:t>
            </w:r>
            <w:r w:rsidR="00421F53">
              <w:rPr>
                <w:rFonts w:eastAsia="SimSun"/>
                <w:kern w:val="2"/>
                <w:sz w:val="28"/>
                <w:szCs w:val="28"/>
                <w:lang w:eastAsia="en-US"/>
              </w:rPr>
              <w:t>, compresi pagamento e mancato pagamento</w:t>
            </w:r>
          </w:p>
          <w:p w:rsidR="000E512F" w:rsidRDefault="00A71851" w14:paraId="55E49E09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Concetto di bonifico bancario</w:t>
            </w:r>
          </w:p>
          <w:p w:rsidR="000E512F" w:rsidRDefault="00A71851" w14:paraId="3E8FA21A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Le procedure Riba</w:t>
            </w:r>
          </w:p>
          <w:p w:rsidR="000E512F" w:rsidRDefault="00A71851" w14:paraId="274A8954" w14:textId="108EE1D0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Tip</w:t>
            </w:r>
            <w:r w:rsidR="00421F53">
              <w:rPr>
                <w:rFonts w:eastAsia="SimSun"/>
                <w:kern w:val="2"/>
                <w:sz w:val="28"/>
                <w:szCs w:val="28"/>
              </w:rPr>
              <w:t>ologie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di carte di pagamento</w:t>
            </w:r>
          </w:p>
          <w:p w:rsidR="000E512F" w:rsidRDefault="00A71851" w14:paraId="718312BC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lastRenderedPageBreak/>
              <w:t>Elementi del pagherò cambiario</w:t>
            </w:r>
          </w:p>
          <w:p w:rsidR="000E512F" w:rsidRDefault="00A71851" w14:paraId="4C72B17B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Elementi della cambiale tratta</w:t>
            </w:r>
          </w:p>
          <w:p w:rsidR="000E512F" w:rsidRDefault="00A71851" w14:paraId="670F86D6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Scadenza della cambiale</w:t>
            </w:r>
          </w:p>
        </w:tc>
      </w:tr>
      <w:tr w:rsidR="000E512F" w:rsidTr="090D0C1F" w14:paraId="79D166C5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185CE85" w14:textId="7777777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5506F7B" w14:textId="77777777">
            <w:pPr>
              <w:widowControl w:val="0"/>
              <w:jc w:val="both"/>
            </w:pPr>
          </w:p>
        </w:tc>
      </w:tr>
    </w:tbl>
    <w:p w:rsidR="000E512F" w:rsidP="7C28022B" w:rsidRDefault="000E512F" w14:paraId="2249723D" w14:textId="767989C8">
      <w:pPr>
        <w:pStyle w:val="Normale"/>
        <w:spacing w:after="160" w:line="259" w:lineRule="auto"/>
      </w:pPr>
    </w:p>
    <w:p w:rsidR="7C28022B" w:rsidP="7C28022B" w:rsidRDefault="7C28022B" w14:paraId="76533D6C" w14:textId="1C239C08">
      <w:pPr>
        <w:pStyle w:val="Normale"/>
        <w:spacing w:after="160" w:line="259" w:lineRule="auto"/>
      </w:pPr>
    </w:p>
    <w:p w:rsidR="7C28022B" w:rsidP="7C28022B" w:rsidRDefault="7C28022B" w14:paraId="5A43EDED" w14:textId="1864FCEE">
      <w:pPr>
        <w:pStyle w:val="Normale"/>
        <w:spacing w:after="160" w:line="259" w:lineRule="auto"/>
      </w:pPr>
    </w:p>
    <w:p w:rsidR="7C28022B" w:rsidP="7C28022B" w:rsidRDefault="7C28022B" w14:paraId="205A52BF" w14:textId="2D43F3DF">
      <w:pPr>
        <w:pStyle w:val="Normale"/>
        <w:spacing w:after="160" w:line="259" w:lineRule="auto"/>
      </w:pPr>
    </w:p>
    <w:p w:rsidR="7C28022B" w:rsidP="7C28022B" w:rsidRDefault="7C28022B" w14:paraId="677B19CB" w14:textId="46CA8284">
      <w:pPr>
        <w:pStyle w:val="Normale"/>
        <w:spacing w:after="160" w:line="259" w:lineRule="auto"/>
      </w:pPr>
    </w:p>
    <w:p w:rsidR="7C28022B" w:rsidP="7C28022B" w:rsidRDefault="7C28022B" w14:paraId="5D0A6471" w14:textId="5C8E9DCE">
      <w:pPr>
        <w:pStyle w:val="Normale"/>
        <w:spacing w:after="160" w:line="259" w:lineRule="auto"/>
      </w:pPr>
    </w:p>
    <w:p w:rsidR="7C28022B" w:rsidP="7C28022B" w:rsidRDefault="7C28022B" w14:paraId="241AE336" w14:textId="364EE5A2">
      <w:pPr>
        <w:pStyle w:val="Normale"/>
        <w:spacing w:after="160" w:line="259" w:lineRule="auto"/>
      </w:pPr>
    </w:p>
    <w:p w:rsidR="7C28022B" w:rsidP="7C28022B" w:rsidRDefault="7C28022B" w14:paraId="1E2D0107" w14:textId="0641B9B1">
      <w:pPr>
        <w:pStyle w:val="Normale"/>
        <w:spacing w:after="160" w:line="259" w:lineRule="auto"/>
      </w:pPr>
    </w:p>
    <w:p w:rsidR="7C28022B" w:rsidP="7C28022B" w:rsidRDefault="7C28022B" w14:paraId="3F72B8E1" w14:textId="13B36371">
      <w:pPr>
        <w:pStyle w:val="Normale"/>
        <w:spacing w:after="160" w:line="259" w:lineRule="auto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E512F" w:rsidTr="3A2B2D5D" w14:paraId="74D0B2B5" w14:textId="77777777">
        <w:tc>
          <w:tcPr>
            <w:tcW w:w="101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76B0641A" w14:textId="77777777">
            <w:pPr>
              <w:widowControl w:val="0"/>
              <w:jc w:val="center"/>
              <w:rPr>
                <w:b/>
                <w:bCs/>
              </w:rPr>
            </w:pPr>
          </w:p>
          <w:p w:rsidR="000E512F" w:rsidRDefault="00A71851" w14:paraId="67FD2065" w14:textId="1C4D65C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MODULO N. 5  (UdA) N.1-2: Titolo LA GESTIONE E I SUOI RISULTATI–  Annualità </w:t>
            </w:r>
            <w:r w:rsidR="006342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seconda</w:t>
            </w:r>
          </w:p>
        </w:tc>
      </w:tr>
      <w:tr w:rsidR="000E512F" w:rsidTr="3A2B2D5D" w14:paraId="0924AABD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564B8CD" w14:textId="129901DB">
            <w:pPr>
              <w:widowControl w:val="0"/>
              <w:jc w:val="both"/>
            </w:pPr>
            <w:r w:rsidR="2333F3C4">
              <w:rPr/>
              <w:t>ORE IN PRESENZA: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4124B72" w14:textId="7B45398C">
            <w:pPr>
              <w:widowControl w:val="0"/>
              <w:jc w:val="both"/>
            </w:pPr>
            <w:r w:rsidR="2333F3C4">
              <w:rPr/>
              <w:t>ORE A DISTANZA: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4CE50604" w14:textId="77777777">
            <w:pPr>
              <w:widowControl w:val="0"/>
            </w:pPr>
            <w:r>
              <w:t>TOTALE ORE: … di cui valide ai fini PCTO: …</w:t>
            </w:r>
          </w:p>
        </w:tc>
      </w:tr>
      <w:tr w:rsidR="000E512F" w:rsidTr="3A2B2D5D" w14:paraId="247301F2" w14:textId="77777777"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5EB6BB9F" w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0E512F" w:rsidRDefault="00A71851" w14:paraId="2348ADFC" w14:textId="77777777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Classificare le operazioni di gestione</w:t>
            </w:r>
          </w:p>
          <w:p w:rsidR="000E512F" w:rsidRDefault="00A71851" w14:paraId="3647739D" w14:textId="78991EAF">
            <w:pPr>
              <w:pStyle w:val="Paragrafoelenco"/>
              <w:widowControl w:val="0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Distinguere gli aspetti e</w:t>
            </w:r>
            <w:r w:rsidR="0054351C">
              <w:rPr>
                <w:rFonts w:eastAsia="SimSun"/>
                <w:kern w:val="2"/>
                <w:sz w:val="28"/>
                <w:szCs w:val="28"/>
              </w:rPr>
              <w:t xml:space="preserve"> i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cicli della gestione</w:t>
            </w:r>
          </w:p>
          <w:p w:rsidR="000E512F" w:rsidRDefault="00A71851" w14:paraId="6E2B2A6B" w14:textId="77777777">
            <w:pPr>
              <w:pStyle w:val="Paragrafoelenco"/>
              <w:widowControl w:val="0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Distinguere le fonti di finanziamento e forme di investimento</w:t>
            </w:r>
          </w:p>
          <w:p w:rsidR="000E512F" w:rsidRDefault="000E512F" w14:paraId="090749A7" w14:textId="77777777">
            <w:pPr>
              <w:pStyle w:val="Paragrafoelenco"/>
              <w:widowControl w:val="0"/>
              <w:rPr>
                <w:b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A71851" w14:paraId="77A14C07" w14:textId="77777777">
            <w:pPr>
              <w:widowControl w:val="0"/>
              <w:ind w:left="720"/>
              <w:jc w:val="both"/>
              <w:rPr>
                <w:b/>
              </w:rPr>
            </w:pPr>
            <w:r>
              <w:rPr>
                <w:b/>
              </w:rPr>
              <w:t>CONOSCENZE</w:t>
            </w:r>
          </w:p>
          <w:p w:rsidR="000E512F" w:rsidRDefault="00A71851" w14:paraId="01EEA9E0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Accenni alla gestione aziendale</w:t>
            </w:r>
          </w:p>
          <w:p w:rsidR="000E512F" w:rsidRDefault="00A71851" w14:paraId="3BF79745" w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Accenni alla conoscenza e alla compilazione dello stato patrimoniale e conto economico</w:t>
            </w:r>
          </w:p>
        </w:tc>
      </w:tr>
      <w:tr w:rsidR="000E512F" w:rsidTr="3A2B2D5D" w14:paraId="25BD08AD" w14:textId="77777777">
        <w:trPr>
          <w:trHeight w:val="77"/>
        </w:trPr>
        <w:tc>
          <w:tcPr>
            <w:tcW w:w="4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6B1E5D27" w14:textId="7777777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E512F" w:rsidRDefault="000E512F" w14:paraId="06E8A2DF" w14:textId="77777777">
            <w:pPr>
              <w:widowControl w:val="0"/>
              <w:jc w:val="both"/>
            </w:pPr>
          </w:p>
        </w:tc>
      </w:tr>
    </w:tbl>
    <w:p w:rsidR="000E512F" w:rsidRDefault="000E512F" w14:paraId="60028925" w14:textId="77777777">
      <w:pPr>
        <w:spacing w:after="160" w:line="259" w:lineRule="auto"/>
      </w:pPr>
    </w:p>
    <w:p w:rsidR="000E512F" w:rsidRDefault="000E512F" w14:paraId="5C544866" w14:textId="5B195E2B">
      <w:pPr>
        <w:spacing w:after="160" w:line="259" w:lineRule="auto"/>
      </w:pPr>
    </w:p>
    <w:p w:rsidR="003154A4" w:rsidRDefault="003154A4" w14:paraId="773E6B76" w14:textId="141C906F">
      <w:pPr>
        <w:spacing w:after="160" w:line="259" w:lineRule="auto"/>
      </w:pPr>
    </w:p>
    <w:p w:rsidR="003154A4" w:rsidRDefault="003154A4" w14:paraId="26DD9F5C" w14:textId="558250F6">
      <w:pPr>
        <w:spacing w:after="160" w:line="259" w:lineRule="auto"/>
      </w:pPr>
    </w:p>
    <w:p w:rsidR="003154A4" w:rsidRDefault="003154A4" w14:paraId="0368DC44" w14:textId="2EDC6318">
      <w:pPr>
        <w:spacing w:after="160" w:line="259" w:lineRule="auto"/>
      </w:pPr>
    </w:p>
    <w:p w:rsidR="003154A4" w:rsidRDefault="003154A4" w14:paraId="57D24B10" w14:textId="077BB203">
      <w:pPr>
        <w:spacing w:after="160" w:line="259" w:lineRule="auto"/>
      </w:pPr>
    </w:p>
    <w:p w:rsidR="003154A4" w:rsidRDefault="003154A4" w14:paraId="2F68D211" w14:textId="7E2B2739">
      <w:pPr>
        <w:spacing w:after="160" w:line="259" w:lineRule="auto"/>
      </w:pPr>
    </w:p>
    <w:p w:rsidR="000E512F" w:rsidP="3A2B2D5D" w:rsidRDefault="00A71851" w14:paraId="286A69D7" w14:textId="3C95DB13">
      <w:pPr>
        <w:pStyle w:val="Normale"/>
        <w:spacing w:after="160" w:line="259" w:lineRule="auto"/>
      </w:pPr>
      <w:r w:rsidR="00A71851">
        <w:rPr/>
        <w:t xml:space="preserve">Data </w:t>
      </w:r>
      <w:r>
        <w:tab/>
      </w:r>
    </w:p>
    <w:p w:rsidR="000E512F" w:rsidRDefault="000E512F" w14:paraId="156B2F74" w14:textId="77777777"/>
    <w:sectPr w:rsidR="000E512F">
      <w:headerReference w:type="default" r:id="rId11"/>
      <w:footerReference w:type="default" r:id="rId12"/>
      <w:pgSz w:w="11906" w:h="16838" w:orient="portrait"/>
      <w:pgMar w:top="851" w:right="851" w:bottom="1134" w:left="992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51" w:rsidRDefault="00A71851" w14:paraId="2F8EF66F" w14:textId="77777777">
      <w:r>
        <w:separator/>
      </w:r>
    </w:p>
  </w:endnote>
  <w:endnote w:type="continuationSeparator" w:id="0">
    <w:p w:rsidR="00A71851" w:rsidRDefault="00A71851" w14:paraId="40AF9E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65 Bold">
    <w:altName w:val="Times New Roman"/>
    <w:charset w:val="00"/>
    <w:family w:val="roman"/>
    <w:pitch w:val="variable"/>
  </w:font>
  <w:font w:name="TTE525A648t00">
    <w:panose1 w:val="00000000000000000000"/>
    <w:charset w:val="00"/>
    <w:family w:val="roman"/>
    <w:notTrueType/>
    <w:pitch w:val="default"/>
  </w:font>
  <w:font w:name="Frutiger 45 Light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tbl>
    <w:tblPr>
      <w:tblW w:w="10239" w:type="dxa"/>
      <w:tblInd w:w="-176" w:type="dxa"/>
      <w:tblLayout w:type="fixed"/>
      <w:tblLook w:val="04A0" w:firstRow="1" w:lastRow="0" w:firstColumn="1" w:lastColumn="0" w:noHBand="0" w:noVBand="1"/>
    </w:tblPr>
    <w:tblGrid>
      <w:gridCol w:w="9996"/>
      <w:gridCol w:w="243"/>
    </w:tblGrid>
    <w:tr w:rsidR="000E512F" w14:paraId="65C6095A" w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60"/>
            <w:gridCol w:w="2849"/>
          </w:tblGrid>
          <w:tr w:rsidR="000E512F" w14:paraId="5E90E19D" w14:textId="77777777">
            <w:trPr>
              <w:trHeight w:val="180"/>
            </w:trPr>
            <w:tc>
              <w:tcPr>
                <w:tcW w:w="6559" w:type="dxa"/>
              </w:tcPr>
              <w:p w:rsidR="000E512F" w:rsidRDefault="00A71851" w14:paraId="487F98A8" w14:textId="77777777">
                <w:pPr>
                  <w:pStyle w:val="Pidipagina"/>
                  <w:widowControl w:val="0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="000E512F" w:rsidRDefault="00A71851" w14:paraId="62103A5F" w14:textId="77777777">
                <w:pPr>
                  <w:pStyle w:val="Pidipagina"/>
                  <w:widowControl w:val="0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="000E512F" w:rsidRDefault="00A71851" w14:paraId="239C4A72" w14:textId="77777777">
                <w:pPr>
                  <w:pStyle w:val="Pidipagina"/>
                  <w:widowControl w:val="0"/>
                  <w:rPr>
                    <w:vanish/>
                    <w:color w:val="3366FF"/>
                    <w:sz w:val="16"/>
                    <w:szCs w:val="16"/>
                  </w:rPr>
                </w:pPr>
                <w:r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www.comune.milano.it</w:t>
                </w:r>
                <w:r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r:id="rId1">
                  <w:r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849" w:type="dxa"/>
              </w:tcPr>
              <w:p w:rsidR="000E512F" w:rsidRDefault="00A71851" w14:paraId="3DE0BB86" w14:textId="77777777">
                <w:pPr>
                  <w:widowControl w:val="0"/>
                  <w:rPr>
                    <w:vanish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3258028" wp14:editId="70B256DE">
                      <wp:extent cx="1720850" cy="908050"/>
                      <wp:effectExtent l="0" t="0" r="0" b="0"/>
                      <wp:docPr id="2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3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512F" w:rsidRDefault="000E512F" w14:paraId="7186E1C9" w14:textId="77777777">
                <w:pPr>
                  <w:pStyle w:val="Pidipagina"/>
                  <w:widowControl w:val="0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="000E512F" w:rsidRDefault="000E512F" w14:paraId="772C3F24" w14:textId="77777777">
          <w:pPr>
            <w:widowControl w:val="0"/>
            <w:rPr>
              <w:rFonts w:eastAsia="Times"/>
              <w:sz w:val="18"/>
              <w:szCs w:val="18"/>
            </w:rPr>
          </w:pPr>
        </w:p>
      </w:tc>
      <w:tc>
        <w:tcPr>
          <w:tcW w:w="243" w:type="dxa"/>
          <w:shd w:val="clear" w:color="auto" w:fill="auto"/>
        </w:tcPr>
        <w:p w:rsidR="000E512F" w:rsidRDefault="000E512F" w14:paraId="777F32A0" w14:textId="77777777">
          <w:pPr>
            <w:widowControl w:val="0"/>
            <w:jc w:val="right"/>
            <w:rPr>
              <w:rFonts w:eastAsia="Times"/>
              <w:sz w:val="18"/>
              <w:szCs w:val="18"/>
            </w:rPr>
          </w:pPr>
        </w:p>
      </w:tc>
    </w:tr>
  </w:tbl>
  <w:p w:rsidR="000E512F" w:rsidRDefault="00A71851" w14:paraId="7961AAD1" w14:textId="3055F8EE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       </w:t>
    </w:r>
    <w:r>
      <w:rPr>
        <w:rFonts w:ascii="Frutiger 45 Light" w:hAnsi="Frutiger 45 Light" w:cs="Arial"/>
        <w:sz w:val="20"/>
        <w:szCs w:val="16"/>
      </w:rPr>
      <w:t>MOD: Prog. Prev.1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80B5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51" w:rsidRDefault="00A71851" w14:paraId="739FFDD0" w14:textId="77777777">
      <w:r>
        <w:separator/>
      </w:r>
    </w:p>
  </w:footnote>
  <w:footnote w:type="continuationSeparator" w:id="0">
    <w:p w:rsidR="00A71851" w:rsidRDefault="00A71851" w14:paraId="306367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="000E512F" w14:paraId="219A3951" w14:textId="77777777">
      <w:trPr>
        <w:trHeight w:val="669"/>
      </w:trPr>
      <w:tc>
        <w:tcPr>
          <w:tcW w:w="2202" w:type="dxa"/>
        </w:tcPr>
        <w:p w:rsidR="000E512F" w:rsidRDefault="00A71851" w14:paraId="3BB215AF" w14:textId="77777777">
          <w:pPr>
            <w:widowControl w:val="0"/>
            <w:ind w:left="-108"/>
          </w:pPr>
          <w:r>
            <w:rPr>
              <w:noProof/>
            </w:rPr>
            <w:drawing>
              <wp:inline distT="0" distB="0" distL="0" distR="0" wp14:anchorId="3558F662" wp14:editId="30F0DB9A">
                <wp:extent cx="1343660" cy="659765"/>
                <wp:effectExtent l="0" t="0" r="0" b="0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73" t="38859" r="6130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0E512F" w:rsidRDefault="000E512F" w14:paraId="39F6ADF8" w14:textId="77777777">
          <w:pPr>
            <w:widowControl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0E512F" w:rsidRDefault="000E512F" w14:paraId="477CE34D" w14:textId="77777777">
          <w:pPr>
            <w:widowControl w:val="0"/>
            <w:rPr>
              <w:rFonts w:ascii="Frutiger 65 Bold" w:hAnsi="Frutiger 65 Bold"/>
              <w:sz w:val="20"/>
            </w:rPr>
          </w:pPr>
        </w:p>
      </w:tc>
      <w:tc>
        <w:tcPr>
          <w:tcW w:w="2291" w:type="dxa"/>
        </w:tcPr>
        <w:p w:rsidR="000E512F" w:rsidRDefault="00A71851" w14:paraId="1D28E381" w14:textId="77777777">
          <w:pPr>
            <w:widowControl w:val="0"/>
            <w:tabs>
              <w:tab w:val="left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>CODICE:. PROG.PREV</w:t>
          </w:r>
        </w:p>
        <w:p w:rsidR="000E512F" w:rsidRDefault="00A71851" w14:paraId="44ACA03C" w14:textId="77777777">
          <w:pPr>
            <w:widowControl w:val="0"/>
            <w:tabs>
              <w:tab w:val="left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="000E512F" w:rsidRDefault="00A71851" w14:paraId="2D8BE581" w14:textId="217CA540">
          <w:pPr>
            <w:widowControl w:val="0"/>
            <w:tabs>
              <w:tab w:val="left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680B55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="000E512F" w:rsidRDefault="00A71851" w14:paraId="6AF0592E" w14:textId="77777777">
          <w:pPr>
            <w:widowControl w:val="0"/>
            <w:tabs>
              <w:tab w:val="left" w:pos="2552"/>
            </w:tabs>
            <w:rPr>
              <w:rFonts w:ascii="Frutiger 45 Light" w:hAnsi="Frutiger 45 Light"/>
              <w:sz w:val="16"/>
              <w:szCs w:val="16"/>
            </w:rPr>
          </w:pPr>
          <w:r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="000E512F" w14:paraId="0D1051FE" w14:textId="77777777">
      <w:trPr>
        <w:trHeight w:val="669"/>
      </w:trPr>
      <w:tc>
        <w:tcPr>
          <w:tcW w:w="9588" w:type="dxa"/>
          <w:gridSpan w:val="3"/>
        </w:tcPr>
        <w:p w:rsidR="000E512F" w:rsidRDefault="00A71851" w14:paraId="349598CA" w14:textId="77777777">
          <w:pPr>
            <w:widowControl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0E512F" w:rsidRDefault="00A71851" w14:paraId="6A135858" w14:textId="77777777">
          <w:pPr>
            <w:widowControl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="000E512F" w:rsidRDefault="00A71851" w14:paraId="03311571" w14:textId="77777777">
          <w:pPr>
            <w:widowControl w:val="0"/>
            <w:tabs>
              <w:tab w:val="left" w:pos="2552"/>
            </w:tabs>
            <w:rPr>
              <w:rFonts w:ascii="Frutiger 45 Light" w:hAnsi="Frutiger 45 Light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Civico CIA  “A. Manzoni”</w:t>
          </w:r>
        </w:p>
      </w:tc>
    </w:tr>
  </w:tbl>
  <w:p w:rsidR="000E512F" w:rsidRDefault="000E512F" w14:paraId="46262AC2" w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nsid w:val="3be9d0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a08156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C31024"/>
    <w:multiLevelType w:val="multilevel"/>
    <w:tmpl w:val="AC42EC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594EDA"/>
    <w:multiLevelType w:val="multilevel"/>
    <w:tmpl w:val="A3E62C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29D068A"/>
    <w:multiLevelType w:val="multilevel"/>
    <w:tmpl w:val="2B84CA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454B10D6"/>
    <w:multiLevelType w:val="multilevel"/>
    <w:tmpl w:val="1FBCD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490578BB"/>
    <w:multiLevelType w:val="multilevel"/>
    <w:tmpl w:val="CEC87C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F9E35CD"/>
    <w:multiLevelType w:val="multilevel"/>
    <w:tmpl w:val="53C03E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5CC947D9"/>
    <w:multiLevelType w:val="multilevel"/>
    <w:tmpl w:val="381CF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E203ACC"/>
    <w:multiLevelType w:val="multilevel"/>
    <w:tmpl w:val="C194D8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num w:numId="10">
    <w:abstractNumId w:val="9"/>
  </w:num>
  <w:num w:numId="9">
    <w:abstractNumId w:val="8"/>
  </w: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F"/>
    <w:rsid w:val="00084D2E"/>
    <w:rsid w:val="000E512F"/>
    <w:rsid w:val="000F256C"/>
    <w:rsid w:val="0027539C"/>
    <w:rsid w:val="002F439F"/>
    <w:rsid w:val="003154A4"/>
    <w:rsid w:val="003D3F0A"/>
    <w:rsid w:val="003E7C85"/>
    <w:rsid w:val="003F7D78"/>
    <w:rsid w:val="00421F53"/>
    <w:rsid w:val="004436D2"/>
    <w:rsid w:val="00506A5C"/>
    <w:rsid w:val="0054351C"/>
    <w:rsid w:val="00634269"/>
    <w:rsid w:val="00680B55"/>
    <w:rsid w:val="00696C0F"/>
    <w:rsid w:val="00742FD3"/>
    <w:rsid w:val="008A6E7B"/>
    <w:rsid w:val="008D2413"/>
    <w:rsid w:val="00A71851"/>
    <w:rsid w:val="078B4C4D"/>
    <w:rsid w:val="078DA4DA"/>
    <w:rsid w:val="090D0C1F"/>
    <w:rsid w:val="0AEBF0AC"/>
    <w:rsid w:val="0C846B45"/>
    <w:rsid w:val="1431877A"/>
    <w:rsid w:val="18DAF088"/>
    <w:rsid w:val="219AADEA"/>
    <w:rsid w:val="21DC09D0"/>
    <w:rsid w:val="2333F3C4"/>
    <w:rsid w:val="28F50F8D"/>
    <w:rsid w:val="372F59DB"/>
    <w:rsid w:val="3A2B2D5D"/>
    <w:rsid w:val="3B600212"/>
    <w:rsid w:val="4A21B6A3"/>
    <w:rsid w:val="4D894AC9"/>
    <w:rsid w:val="4F78F01D"/>
    <w:rsid w:val="65ABBEBE"/>
    <w:rsid w:val="7C2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CCD"/>
  <w15:docId w15:val="{319A97E2-BD60-468F-8800-D4D945E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IntestazioneCarattere" w:customStyle="1">
    <w:name w:val="Intestazione Carattere"/>
    <w:basedOn w:val="Carpredefinitoparagrafo"/>
    <w:link w:val="Intestazione"/>
    <w:uiPriority w:val="99"/>
    <w:qFormat/>
    <w:rsid w:val="004760BD"/>
  </w:style>
  <w:style w:type="character" w:styleId="PidipaginaCarattere" w:customStyle="1">
    <w:name w:val="Piè di pagina Carattere"/>
    <w:basedOn w:val="Carpredefinitoparagrafo"/>
    <w:link w:val="Pidipagina"/>
    <w:uiPriority w:val="99"/>
    <w:qFormat/>
    <w:rsid w:val="004760BD"/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qFormat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character" w:styleId="normaltextrun" w:customStyle="1">
    <w:name w:val="normaltextrun"/>
    <w:basedOn w:val="Carpredefinitoparagrafo"/>
    <w:qFormat/>
    <w:rsid w:val="00D3664A"/>
  </w:style>
  <w:style w:type="character" w:styleId="eop" w:customStyle="1">
    <w:name w:val="eop"/>
    <w:basedOn w:val="Carpredefinitoparagrafo"/>
    <w:qFormat/>
    <w:rsid w:val="00D3664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e"/>
    <w:qFormat/>
    <w:pPr>
      <w:suppressLineNumbers/>
    </w:pPr>
    <w:rPr>
      <w:rFonts w:cs="Arial"/>
    </w:rPr>
  </w:style>
  <w:style w:type="paragraph" w:styleId="Intestazioneepidipagina" w:customStyle="1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qFormat/>
    <w:rsid w:val="00005324"/>
    <w:pPr>
      <w:spacing w:after="160" w:line="259" w:lineRule="auto"/>
      <w:textAlignment w:val="baseline"/>
    </w:pPr>
    <w:rPr>
      <w:rFonts w:eastAsia="SimSun" w:cs="Calibri"/>
      <w:kern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7F3E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e"/>
    <w:qFormat/>
    <w:rsid w:val="00D3664A"/>
    <w:pPr>
      <w:spacing w:beforeAutospacing="1" w:afterAutospacing="1"/>
    </w:pPr>
  </w:style>
  <w:style w:type="table" w:styleId="Grigliatabella">
    <w:name w:val="Table Grid"/>
    <w:basedOn w:val="Tabellanormale"/>
    <w:uiPriority w:val="39"/>
    <w:rsid w:val="004760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5CA82BD59544A9119F7FA4E10E024" ma:contentTypeVersion="9" ma:contentTypeDescription="Creare un nuovo documento." ma:contentTypeScope="" ma:versionID="ea703c594377e38404e5aee8ab8d85d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b25348c9aa2ab145789dff7ea9a64606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4dfaad9-08e1-490e-81e3-95af779543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2A42-C2BB-4E40-A363-7D2BFDD12FC8}"/>
</file>

<file path=customXml/itemProps2.xml><?xml version="1.0" encoding="utf-8"?>
<ds:datastoreItem xmlns:ds="http://schemas.openxmlformats.org/officeDocument/2006/customXml" ds:itemID="{D09A657E-1708-48F5-93EE-0A50F9121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E21EB-904B-4AE1-A1E9-571501DF64BF}">
  <ds:schemaRefs>
    <ds:schemaRef ds:uri="0780bfd7-c027-4baa-a118-22038c3da3b9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bdfae99-2503-4dfb-bc20-a4b5e42029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1222F6-2DA6-4231-A708-C22D61DF80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Francesco Denaro</dc:creator>
  <dc:description/>
  <lastModifiedBy>Luciana  Sanzo</lastModifiedBy>
  <revision>45</revision>
  <lastPrinted>2024-06-03T05:36:00.0000000Z</lastPrinted>
  <dcterms:created xsi:type="dcterms:W3CDTF">2022-10-24T07:42:00.0000000Z</dcterms:created>
  <dcterms:modified xsi:type="dcterms:W3CDTF">2024-06-03T13:46:50.1158140Z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0x01010088B5CA82BD59544A9119F7FA4E10E024</vt:lpwstr>
  </property>
  <property fmtid="{D5CDD505-2E9C-101B-9397-08002B2CF9AE}" pid="4" name="Order">
    <vt:r8>6000</vt:r8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xd_ProgID">
    <vt:lpwstr/>
  </property>
  <property fmtid="{D5CDD505-2E9C-101B-9397-08002B2CF9AE}" pid="11" name="xd_Signature">
    <vt:bool>false</vt:bool>
  </property>
</Properties>
</file>